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274B08B5">
      <w:pPr>
        <w:jc w:val="center"/>
        <w:rPr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不合格项目的说明</w:t>
      </w:r>
    </w:p>
    <w:p w14:paraId="1D86E4B9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、噻虫胺</w:t>
      </w:r>
    </w:p>
    <w:p w14:paraId="3A8F7E11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2763）中规定，噻虫胺在辣椒中的最大残留限量为0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64F7CA0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批次辣椒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6批次姜，1批次豇豆，1批次香蕉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中噻虫胺超标，原因可能是农户在种植过程中为快速控制虫害，加大用药量或未遵守采摘间隔期规定，致使上市销售的产品中残留量超标。</w:t>
      </w:r>
    </w:p>
    <w:p w14:paraId="4DED78E2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</w:p>
    <w:p w14:paraId="62B8FAF0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、噻虫嗪</w:t>
      </w:r>
    </w:p>
    <w:p w14:paraId="0230A7C2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噻虫嗪属于新烟碱类杀虫剂，具有内吸性、触杀和胃毒作用，长期食用噻虫嗪超标的食品可能对人体健康有一定影响。根据《食品安全国家标准 食品中农药最大残留限量》（GB 2763）中规定，噻虫嗪在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4AC2F4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gree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1批次姜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中噻虫嗪超标，原因可能是农户在种植过程中为快速控制虫害，加大用药量或未遵守采摘间隔期规定，致使上市销售的产品中残留量超标。</w:t>
      </w:r>
    </w:p>
    <w:p w14:paraId="5C072877">
      <w:pPr>
        <w:pStyle w:val="2"/>
        <w:kinsoku w:val="0"/>
        <w:overflowPunct w:val="0"/>
        <w:spacing w:before="0"/>
        <w:ind w:left="0" w:leftChars="0" w:firstLine="0" w:firstLineChars="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20153B7A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、吡虫啉</w:t>
      </w:r>
    </w:p>
    <w:p w14:paraId="3A0D5900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吡虫啉常用于防治蔬菜水果上的蚜虫等害虫。虽然它属于低毒杀虫剂，但长期摄入超标的产品，仍可能对神经系统等造成潜在影响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吡虫啉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8C8651A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gree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吡虫啉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 w14:paraId="3C31E3A1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green"/>
        </w:rPr>
      </w:pPr>
    </w:p>
    <w:p w14:paraId="58E377D8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、丙环唑</w:t>
      </w:r>
    </w:p>
    <w:p w14:paraId="258F17BD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丙环唑是一种广泛使用的杀菌剂，在规范使用下能有效防治作物病害。丙环唑属于低毒杀菌剂，一般不会引起急性中毒。但直接接触可能对皮肤和眼睛产生刺激，导致红肿、疼痛；长期食用丙环唑残留超标的食品，可能对健康产生潜在影响，可能引起头痛、眩晕等神经症状，长期摄入可能加重肝肾代谢负担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丙环唑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4515BDBB">
      <w:pPr>
        <w:keepNext w:val="0"/>
        <w:keepLines w:val="0"/>
        <w:pageBreakBefore w:val="0"/>
        <w:widowControl w:val="0"/>
        <w:tabs>
          <w:tab w:val="left" w:pos="140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gree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丙环唑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 w14:paraId="55FCCB00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green"/>
        </w:rPr>
      </w:pPr>
    </w:p>
    <w:p w14:paraId="1E96CCBD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、氟唑菌酰胺</w:t>
      </w:r>
    </w:p>
    <w:p w14:paraId="3B131FD3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氟唑菌酰胺是一种琥珀酸脱氢酶抑制剂（SDHI）类羧酰胺类杀菌剂，具有广谱性，用于防治多种真菌病害，一般不会引起急性中毒，对皮肤和眼睛有轻微刺激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氟唑菌酰胺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7678170C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gree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氟唑菌酰胺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 w14:paraId="24C1C966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79C26C28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、克百威</w:t>
      </w:r>
    </w:p>
    <w:p w14:paraId="6AE4059C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克百威是一种氨基甲酸酯类杀虫剂，具有内吸、触杀和胃毒作用，主要用于防治水稻、玉米、棉花等作物的害虫。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克百威对人、畜属高毒杀虫剂，中毒症状主要有头昏、头痛、乏力、面色苍白、呕吐、多汗、流涎、瞳孔缩小、视力模糊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，长期食用克百威残留超标的食品，可能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造成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神经、血液系统损害，甚至可能在人体内蓄积引发慢性疾病。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77AE22DF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gree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 w14:paraId="47140EB1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6F0B5A3F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咪鲜胺和咪鲜胺锰盐</w:t>
      </w:r>
    </w:p>
    <w:p w14:paraId="36F95CFE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咪鲜胺和咪鲜胺锰盐是一种广谱高效杀菌剂，属于咪唑类杀菌剂；少量的农药残留不会引起人体急性中毒，但长期食用超标的食品，对人体健康可能有一定影响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2763）中规定，咪鲜胺和咪鲜胺锰盐在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494F280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green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中咪鲜胺和咪鲜胺锰盐超标，原因可能是种植户可能为快速控制虫害，不按规定剂量和频率使用，加大使用量、增加施药次数，使农产品吸收和积累过多，无法在收获前完全降解，造成残留超标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或未遵守采摘间隔期，在农药未完全降解前就进行采摘，使得农产品中残留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267021E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1EC074D5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戊唑醇</w:t>
      </w:r>
    </w:p>
    <w:p w14:paraId="3D651F01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戊唑醇是一种高效、广谱的三唑类杀菌剂，主要用于防治小麦、水稻、花生、蔬菜、水果等多种作物上的真菌病害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长期食用戊唑醇超标的农产品，可能对人体健康产生不利影响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2763）中规定，戊唑醇在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242BDC8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中戊唑醇超标，原因可能是种植户可能为快速控制虫害，不按规定剂量和频率使用，加大戊唑醇的使用量、增加施药次数，使农产品吸收和积累过多戊唑醇，无法在收获前完全降解，造成残留超标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戊唑醇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残留超过安全标准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0FECB2F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09DD82A6">
      <w:pPr>
        <w:pStyle w:val="2"/>
        <w:kinsoku w:val="0"/>
        <w:overflowPunct w:val="0"/>
        <w:spacing w:before="35" w:line="560" w:lineRule="exact"/>
        <w:ind w:firstLine="643" w:firstLineChars="200"/>
        <w:rPr>
          <w:rFonts w:hint="eastAsia" w:hAnsi="黑体"/>
          <w:b/>
          <w:bCs/>
          <w:highlight w:val="none"/>
        </w:rPr>
      </w:pPr>
      <w:r>
        <w:rPr>
          <w:rFonts w:hint="eastAsia" w:ascii="Times New Roman"/>
          <w:b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hAnsi="黑体"/>
          <w:b/>
          <w:bCs/>
          <w:highlight w:val="none"/>
        </w:rPr>
        <w:t>毒死蜱</w:t>
      </w:r>
    </w:p>
    <w:p w14:paraId="77F04CE5">
      <w:pPr>
        <w:pStyle w:val="2"/>
        <w:kinsoku w:val="0"/>
        <w:overflowPunct w:val="0"/>
        <w:spacing w:before="35" w:line="560" w:lineRule="exact"/>
        <w:ind w:firstLine="640" w:firstLineChars="200"/>
        <w:rPr>
          <w:rFonts w:hAnsi="黑体"/>
          <w:highlight w:val="none"/>
        </w:rPr>
      </w:pPr>
      <w:r>
        <w:rPr>
          <w:rFonts w:hint="eastAsia" w:hAnsi="黑体"/>
          <w:highlight w:val="none"/>
        </w:rPr>
        <w:t>毒死蜱是一种具有触杀、胃毒和熏蒸作用的有机磷杀虫剂。毒死蜱在土壤中残留期较长。长期暴露在含有毒死蜱的环境中，可能会导致神经毒性、生殖毒性，影响胚胎的生长发育。少量的农药残留不会引起人体急性中毒，但长期食用农药残留超标的食品，对人体健康有一定影响。根据《食品安全国家标准 食品中农药最大残留限量》（GB 2763）中规定，毒死蜱在</w:t>
      </w:r>
      <w:r>
        <w:rPr>
          <w:rFonts w:hint="eastAsia" w:hAnsi="黑体"/>
          <w:highlight w:val="none"/>
          <w:lang w:val="en-US" w:eastAsia="zh-CN"/>
        </w:rPr>
        <w:t>芹菜</w:t>
      </w:r>
      <w:r>
        <w:rPr>
          <w:rFonts w:hint="eastAsia" w:hAnsi="黑体"/>
          <w:highlight w:val="none"/>
        </w:rPr>
        <w:t>中的最大残留限量为0.</w:t>
      </w:r>
      <w:r>
        <w:rPr>
          <w:rFonts w:hAnsi="黑体"/>
          <w:highlight w:val="none"/>
        </w:rPr>
        <w:t>0</w:t>
      </w:r>
      <w:r>
        <w:rPr>
          <w:rFonts w:hint="eastAsia" w:hAnsi="黑体"/>
          <w:highlight w:val="none"/>
          <w:lang w:val="en-US" w:eastAsia="zh-CN"/>
        </w:rPr>
        <w:t>5</w:t>
      </w:r>
      <w:r>
        <w:rPr>
          <w:rFonts w:hint="eastAsia" w:hAnsi="黑体"/>
          <w:highlight w:val="none"/>
        </w:rPr>
        <w:t>mg/kg</w:t>
      </w:r>
      <w:r>
        <w:rPr>
          <w:rFonts w:hint="eastAsia" w:hAnsi="黑体"/>
          <w:highlight w:val="none"/>
          <w:lang w:eastAsia="zh-CN"/>
        </w:rPr>
        <w:t>，</w:t>
      </w:r>
      <w:r>
        <w:rPr>
          <w:rFonts w:hint="eastAsia" w:hAnsi="黑体"/>
          <w:highlight w:val="none"/>
          <w:lang w:val="en-US" w:eastAsia="zh-CN"/>
        </w:rPr>
        <w:t>在韭菜和姜中的</w:t>
      </w:r>
      <w:r>
        <w:rPr>
          <w:rFonts w:hint="eastAsia" w:hAnsi="黑体"/>
          <w:highlight w:val="none"/>
        </w:rPr>
        <w:t>最大残留限量为0.</w:t>
      </w:r>
      <w:r>
        <w:rPr>
          <w:rFonts w:hAnsi="黑体"/>
          <w:highlight w:val="none"/>
        </w:rPr>
        <w:t>0</w:t>
      </w:r>
      <w:r>
        <w:rPr>
          <w:rFonts w:hint="eastAsia" w:hAnsi="黑体"/>
          <w:highlight w:val="none"/>
          <w:lang w:val="en-US" w:eastAsia="zh-CN"/>
        </w:rPr>
        <w:t>2</w:t>
      </w:r>
      <w:r>
        <w:rPr>
          <w:rFonts w:hint="eastAsia" w:hAnsi="黑体"/>
          <w:highlight w:val="none"/>
        </w:rPr>
        <w:t>mg/kg。</w:t>
      </w:r>
    </w:p>
    <w:p w14:paraId="36614266">
      <w:pPr>
        <w:pStyle w:val="2"/>
        <w:kinsoku w:val="0"/>
        <w:overflowPunct w:val="0"/>
        <w:spacing w:before="0"/>
        <w:ind w:left="0" w:firstLine="640" w:firstLineChars="200"/>
        <w:rPr>
          <w:rFonts w:hint="eastAsia" w:hAnsi="黑体"/>
          <w:highlight w:val="gree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</w:t>
      </w:r>
      <w:r>
        <w:rPr>
          <w:rFonts w:hint="eastAsia" w:hAnsi="黑体"/>
          <w:highlight w:val="none"/>
        </w:rPr>
        <w:t>有1批次</w:t>
      </w:r>
      <w:r>
        <w:rPr>
          <w:rFonts w:hint="eastAsia" w:hAnsi="黑体"/>
          <w:highlight w:val="none"/>
          <w:lang w:val="en-US" w:eastAsia="zh-CN"/>
        </w:rPr>
        <w:t>芹菜，1批次韭菜和1批次姜</w:t>
      </w:r>
      <w:r>
        <w:rPr>
          <w:rFonts w:hint="eastAsia" w:hAnsi="黑体"/>
          <w:highlight w:val="none"/>
        </w:rPr>
        <w:t>中毒死蜱超标，超标的原因可能是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农户在种植过程中农药使用不科学规范所致</w:t>
      </w:r>
      <w:r>
        <w:rPr>
          <w:rFonts w:hint="eastAsia" w:hAnsi="黑体"/>
          <w:highlight w:val="none"/>
        </w:rPr>
        <w:t>。</w:t>
      </w:r>
    </w:p>
    <w:p w14:paraId="75ED4522">
      <w:pPr>
        <w:pStyle w:val="2"/>
        <w:kinsoku w:val="0"/>
        <w:overflowPunct w:val="0"/>
        <w:spacing w:before="0"/>
        <w:ind w:left="0" w:firstLine="640" w:firstLineChars="200"/>
        <w:rPr>
          <w:rFonts w:hint="eastAsia" w:hAnsi="黑体"/>
          <w:highlight w:val="green"/>
        </w:rPr>
      </w:pPr>
    </w:p>
    <w:p w14:paraId="3CF50DBB">
      <w:pPr>
        <w:pStyle w:val="2"/>
        <w:kinsoku w:val="0"/>
        <w:overflowPunct w:val="0"/>
        <w:spacing w:before="35" w:line="560" w:lineRule="exact"/>
        <w:ind w:firstLine="643" w:firstLineChars="200"/>
        <w:rPr>
          <w:rFonts w:hint="eastAsia" w:hAnsi="黑体" w:eastAsia="仿宋_GB2312"/>
          <w:highlight w:val="none"/>
          <w:lang w:eastAsia="zh-CN"/>
        </w:rPr>
      </w:pPr>
      <w:r>
        <w:rPr>
          <w:rFonts w:hint="eastAsia" w:ascii="Times New Roman"/>
          <w:b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hAnsi="黑体"/>
          <w:highlight w:val="none"/>
          <w:lang w:val="en-US" w:eastAsia="zh-CN"/>
        </w:rPr>
        <w:t>多菌灵</w:t>
      </w:r>
    </w:p>
    <w:p w14:paraId="64471536">
      <w:pPr>
        <w:pStyle w:val="2"/>
        <w:kinsoku w:val="0"/>
        <w:overflowPunct w:val="0"/>
        <w:spacing w:before="35" w:line="560" w:lineRule="exact"/>
        <w:ind w:firstLine="640" w:firstLineChars="200"/>
        <w:rPr>
          <w:rFonts w:hAnsi="黑体"/>
          <w:highlight w:val="none"/>
        </w:rPr>
      </w:pPr>
      <w:r>
        <w:rPr>
          <w:rFonts w:hint="eastAsia" w:hAnsi="黑体"/>
          <w:highlight w:val="none"/>
        </w:rPr>
        <w:t>多菌灵是一种广泛使用的广谱杀菌剂，常用于防治农作物真菌病害，以保障作物健康生长。长期摄入残留多菌灵的食品可能导致肝肾功能损伤，甚至可能引发癌症。高剂量摄入可能引起恶心、呕吐、头痛、眩晕等症状，严重时可能导致肝肾损伤</w:t>
      </w:r>
      <w:r>
        <w:rPr>
          <w:rFonts w:hint="eastAsia" w:hAnsi="黑体"/>
          <w:highlight w:val="none"/>
          <w:lang w:eastAsia="zh-CN"/>
        </w:rPr>
        <w:t>。</w:t>
      </w:r>
      <w:r>
        <w:rPr>
          <w:rFonts w:hint="eastAsia" w:hAnsi="黑体"/>
          <w:highlight w:val="none"/>
        </w:rPr>
        <w:t>根据《食品安全国家标准 食品中农药最大残留限量》（GB 2763）中规定，多菌灵在</w:t>
      </w:r>
      <w:r>
        <w:rPr>
          <w:rFonts w:hint="eastAsia" w:hAnsi="黑体"/>
          <w:highlight w:val="none"/>
          <w:lang w:val="en-US" w:eastAsia="zh-CN"/>
        </w:rPr>
        <w:t>枣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5</w:t>
      </w:r>
      <w:r>
        <w:rPr>
          <w:rFonts w:hint="eastAsia" w:hAnsi="黑体"/>
          <w:highlight w:val="none"/>
        </w:rPr>
        <w:t>mg/kg。</w:t>
      </w:r>
    </w:p>
    <w:p w14:paraId="0A459BAF">
      <w:pPr>
        <w:pStyle w:val="2"/>
        <w:kinsoku w:val="0"/>
        <w:overflowPunct w:val="0"/>
        <w:spacing w:before="0"/>
        <w:ind w:left="0" w:firstLine="640" w:firstLineChars="200"/>
        <w:rPr>
          <w:rFonts w:hint="eastAsia" w:hAnsi="黑体"/>
          <w:highlight w:val="green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</w:t>
      </w:r>
      <w:r>
        <w:rPr>
          <w:rFonts w:hint="eastAsia" w:hAnsi="黑体"/>
          <w:highlight w:val="none"/>
        </w:rPr>
        <w:t>有1批次</w:t>
      </w:r>
      <w:r>
        <w:rPr>
          <w:rFonts w:hint="eastAsia" w:hAnsi="黑体"/>
          <w:highlight w:val="none"/>
          <w:lang w:val="en-US" w:eastAsia="zh-CN"/>
        </w:rPr>
        <w:t>枣</w:t>
      </w:r>
      <w:r>
        <w:rPr>
          <w:rFonts w:hint="eastAsia" w:hAnsi="黑体"/>
          <w:highlight w:val="none"/>
        </w:rPr>
        <w:t>中多菌灵超标，超标的原因可能是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农户在种植过程中农药使用不科学规范所致</w:t>
      </w:r>
      <w:r>
        <w:rPr>
          <w:rFonts w:hint="eastAsia" w:hAnsi="黑体"/>
          <w:highlight w:val="none"/>
        </w:rPr>
        <w:t>。</w:t>
      </w:r>
    </w:p>
    <w:p w14:paraId="54658D0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67954BF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十一</w:t>
      </w:r>
      <w:r>
        <w:rPr>
          <w:rFonts w:hint="eastAsia" w:ascii="黑体" w:hAnsi="黑体" w:eastAsia="黑体"/>
          <w:highlight w:val="none"/>
        </w:rPr>
        <w:t>、阿维菌素</w:t>
      </w:r>
    </w:p>
    <w:p w14:paraId="36C171A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阿维菌素是一种广谱抗生素类杀虫剂。广泛用于蔬菜（如芹菜、韭菜、豇豆）、果树及棉花等作物，防治虫螨和线虫。一般不会导致对人体的急性毒性作用，但长期食用可能对人体健康造成危害。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在油麦菜中最大残留限量值为0.0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5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 w14:paraId="349B6EB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 w:cs="Times New Roman"/>
          <w:kern w:val="2"/>
          <w:highlight w:val="none"/>
        </w:rPr>
        <w:t>油麦菜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阿维菌素超标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1B729E11">
      <w:pPr>
        <w:pStyle w:val="2"/>
        <w:kinsoku w:val="0"/>
        <w:overflowPunct w:val="0"/>
        <w:spacing w:before="35" w:line="560" w:lineRule="exact"/>
        <w:ind w:left="0" w:leftChars="0" w:firstLine="0" w:firstLineChars="0"/>
        <w:rPr>
          <w:rFonts w:hint="eastAsia" w:ascii="Times New Roman"/>
          <w:highlight w:val="none"/>
        </w:rPr>
      </w:pPr>
    </w:p>
    <w:p w14:paraId="24676A97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十二</w:t>
      </w:r>
      <w:r>
        <w:rPr>
          <w:rFonts w:hint="eastAsia" w:ascii="黑体" w:hAnsi="黑体" w:eastAsia="黑体"/>
          <w:highlight w:val="none"/>
        </w:rPr>
        <w:t>、氯氟氰菊酯和高效氯氟氰菊酯</w:t>
      </w:r>
    </w:p>
    <w:p w14:paraId="4085D33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  <w:lang w:eastAsia="zh-CN"/>
        </w:rPr>
        <w:t>氯氟氰菊酯和高效氯氟氰菊酯是一种广谱、高效拟除虫菊酯类杀虫剂，具有触杀和胃毒作用，少量残留不会引起急性中毒，但长期食用超标食品可能对人体健康产生不良影响。</w:t>
      </w:r>
      <w:r>
        <w:rPr>
          <w:rFonts w:hint="eastAsia" w:ascii="Times New Roman" w:cs="Times New Roman"/>
          <w:kern w:val="2"/>
          <w:highlight w:val="none"/>
        </w:rPr>
        <w:t>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葱</w:t>
      </w:r>
      <w:r>
        <w:rPr>
          <w:rFonts w:hint="eastAsia" w:ascii="Times New Roman" w:cs="Times New Roman"/>
          <w:kern w:val="2"/>
          <w:highlight w:val="none"/>
        </w:rPr>
        <w:t>中最大残留限量值为0.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2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 w14:paraId="708E1EB1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葱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eastAsia="zh-CN"/>
        </w:rPr>
        <w:t>氯氟氰菊酯和高效氯氟氰菊酯</w:t>
      </w:r>
      <w:r>
        <w:rPr>
          <w:rFonts w:hint="eastAsia" w:ascii="Times New Roman" w:cs="Times New Roman"/>
          <w:kern w:val="2"/>
          <w:highlight w:val="none"/>
        </w:rPr>
        <w:t>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4404D36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 w14:paraId="686166B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十三</w:t>
      </w:r>
      <w:r>
        <w:rPr>
          <w:rFonts w:hint="eastAsia" w:ascii="黑体" w:hAnsi="黑体" w:eastAsia="黑体"/>
          <w:highlight w:val="none"/>
        </w:rPr>
        <w:t>、阴离子合成洗涤剂(以十二烷基苯磺酸钠计)</w:t>
      </w:r>
    </w:p>
    <w:p w14:paraId="471A77D7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highlight w:val="none"/>
        </w:rPr>
      </w:pPr>
      <w:r>
        <w:rPr>
          <w:rFonts w:hint="eastAsia" w:ascii="Times New Roman"/>
          <w:highlight w:val="none"/>
        </w:rPr>
        <w:t>阴离子合成洗涤剂的主要活性成分是十二烷基苯磺酸钠，是一种低毒的化学物质。根据《食品安全国家标准 消毒餐（饮）具》（GB 14934）中规定，消毒餐（饮）具中阴离子合成洗涤剂（以十二烷基苯磺酸钠计）不得检出。</w:t>
      </w:r>
    </w:p>
    <w:p w14:paraId="5AC7FDBC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13</w:t>
      </w:r>
      <w:r>
        <w:rPr>
          <w:rFonts w:hint="eastAsia" w:ascii="Times New Roman"/>
          <w:highlight w:val="none"/>
        </w:rPr>
        <w:t>批次复用餐饮具中检出阴离子合成洗涤剂(以十二烷基苯磺酸钠计)，原因可能是用于清洗餐具的洗涤剂不符合标准，洗涤剂</w:t>
      </w:r>
      <w:r>
        <w:rPr>
          <w:rFonts w:ascii="Times New Roman"/>
          <w:highlight w:val="none"/>
        </w:rPr>
        <w:t>用量</w:t>
      </w:r>
      <w:r>
        <w:rPr>
          <w:rFonts w:hint="eastAsia" w:ascii="Times New Roman"/>
          <w:highlight w:val="none"/>
        </w:rPr>
        <w:t>过大，清洗</w:t>
      </w:r>
      <w:r>
        <w:rPr>
          <w:rFonts w:ascii="Times New Roman"/>
          <w:highlight w:val="none"/>
        </w:rPr>
        <w:t>消毒流程</w:t>
      </w:r>
      <w:r>
        <w:rPr>
          <w:rFonts w:hint="eastAsia" w:ascii="Times New Roman"/>
          <w:highlight w:val="none"/>
        </w:rPr>
        <w:t>控制</w:t>
      </w:r>
      <w:r>
        <w:rPr>
          <w:rFonts w:ascii="Times New Roman"/>
          <w:highlight w:val="none"/>
        </w:rPr>
        <w:t>不当，</w:t>
      </w:r>
      <w:r>
        <w:rPr>
          <w:rFonts w:hint="eastAsia" w:ascii="Times New Roman"/>
          <w:highlight w:val="none"/>
        </w:rPr>
        <w:t>洗涤剂或消毒剂未彻底冲洗干净所</w:t>
      </w:r>
      <w:r>
        <w:rPr>
          <w:rFonts w:ascii="Times New Roman"/>
          <w:highlight w:val="none"/>
        </w:rPr>
        <w:t>导致</w:t>
      </w:r>
      <w:r>
        <w:rPr>
          <w:rFonts w:hint="eastAsia" w:ascii="Times New Roman"/>
          <w:highlight w:val="none"/>
        </w:rPr>
        <w:t>。</w:t>
      </w:r>
    </w:p>
    <w:p w14:paraId="30EB45A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 w14:paraId="69FD520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十四</w:t>
      </w:r>
      <w:r>
        <w:rPr>
          <w:rFonts w:hint="eastAsia" w:ascii="黑体" w:hAnsi="黑体" w:eastAsia="黑体"/>
          <w:highlight w:val="none"/>
        </w:rPr>
        <w:t>、大肠菌群</w:t>
      </w:r>
    </w:p>
    <w:p w14:paraId="5DD7EEE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default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消毒餐(饮)具》（GB 14934-2016）中规定，复用餐饮具(餐馆自行消毒)</w:t>
      </w:r>
      <w:r>
        <w:rPr>
          <w:rFonts w:hint="eastAsia" w:ascii="Times New Roman"/>
          <w:highlight w:val="none"/>
          <w:lang w:val="en-US" w:eastAsia="zh-CN"/>
        </w:rPr>
        <w:t>中</w:t>
      </w:r>
      <w:r>
        <w:rPr>
          <w:rFonts w:hint="eastAsia" w:ascii="Times New Roman"/>
          <w:highlight w:val="none"/>
        </w:rPr>
        <w:t>大肠菌群</w:t>
      </w:r>
      <w:r>
        <w:rPr>
          <w:rFonts w:hint="eastAsia" w:ascii="Times New Roman"/>
          <w:highlight w:val="none"/>
          <w:lang w:val="en-US" w:eastAsia="zh-CN"/>
        </w:rPr>
        <w:t>不得检出</w:t>
      </w:r>
      <w:r>
        <w:rPr>
          <w:rFonts w:hint="eastAsia" w:ascii="Times New Roman"/>
          <w:highlight w:val="none"/>
        </w:rPr>
        <w:t>。根据产品明示标准和质量要求中规定，</w:t>
      </w:r>
      <w:r>
        <w:rPr>
          <w:rFonts w:hint="eastAsia" w:ascii="Times New Roman"/>
          <w:highlight w:val="none"/>
          <w:lang w:val="en-US" w:eastAsia="zh-CN"/>
        </w:rPr>
        <w:t>在米粉制品中大肠菌群不得超过n=5,c=2,m=20,M=100 CFU/g。</w:t>
      </w:r>
    </w:p>
    <w:p w14:paraId="1E71DB82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1批次鲜湿米粉，1批次</w:t>
      </w:r>
      <w:r>
        <w:rPr>
          <w:rFonts w:hint="eastAsia" w:ascii="Times New Roman"/>
          <w:highlight w:val="none"/>
        </w:rPr>
        <w:t>复用餐饮具</w:t>
      </w:r>
      <w:r>
        <w:rPr>
          <w:rFonts w:hint="eastAsia" w:ascii="Times New Roman"/>
          <w:highlight w:val="none"/>
          <w:lang w:val="en-US" w:eastAsia="zh-CN"/>
        </w:rPr>
        <w:t>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15845D9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 w14:paraId="5062D82C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五</w:t>
      </w:r>
      <w:r>
        <w:rPr>
          <w:rFonts w:hint="eastAsia" w:ascii="黑体" w:hAnsi="黑体" w:eastAsia="黑体"/>
          <w:highlight w:val="none"/>
        </w:rPr>
        <w:t>、甲氧苄啶</w:t>
      </w:r>
    </w:p>
    <w:p w14:paraId="00A553A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甲氧苄啶是一种合成的广谱抗菌药，属于磺胺增效剂。长期摄入甲氧苄啶残留超标的食品，可能引起头晕、头痛、睡眠不良、胃肠道不适等症状。《食品安全国家标准 食品中41种兽药最大残留限量》（GB 31650.1-2022）中规定，甲氧苄啶在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4AFF63B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甲氧苄啶超标。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11CF5FA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5E1CADB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十六</w:t>
      </w:r>
      <w:r>
        <w:rPr>
          <w:rFonts w:hint="eastAsia" w:ascii="黑体" w:hAnsi="黑体" w:eastAsia="黑体"/>
          <w:highlight w:val="none"/>
        </w:rPr>
        <w:t>、磺胺类(总量)</w:t>
      </w:r>
    </w:p>
    <w:p w14:paraId="4F33EA5F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磺胺类药物是一类人工合成的抑菌药，具有抗菌谱广、性质稳定、便于贮存、吸收迅速等优点，用于动物疫病治疗。长期摄入磺胺类药物残留超标的食品，可能在人体内蓄积，不利健康，引起过敏反应和耐药性菌株的产生。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根据</w:t>
      </w:r>
      <w:r>
        <w:rPr>
          <w:rFonts w:hint="eastAsia" w:ascii="Times New Roman" w:cs="Times New Roman"/>
          <w:kern w:val="2"/>
          <w:highlight w:val="none"/>
        </w:rPr>
        <w:t>《食品安全国家标准 食品中41种兽药最大残留限量》（GB 31650.1-2022）中规定，磺胺类</w:t>
      </w:r>
      <w:r>
        <w:rPr>
          <w:rFonts w:hint="eastAsia" w:ascii="Times New Roman" w:cs="Times New Roman"/>
          <w:kern w:val="2"/>
          <w:highlight w:val="none"/>
          <w:lang w:eastAsia="zh-CN"/>
        </w:rPr>
        <w:t>（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总量</w:t>
      </w:r>
      <w:r>
        <w:rPr>
          <w:rFonts w:hint="eastAsia" w:ascii="Times New Roman" w:cs="Times New Roman"/>
          <w:kern w:val="2"/>
          <w:highlight w:val="none"/>
          <w:lang w:eastAsia="zh-CN"/>
        </w:rPr>
        <w:t>）</w:t>
      </w:r>
      <w:r>
        <w:rPr>
          <w:rFonts w:hint="eastAsia" w:ascii="Times New Roman" w:cs="Times New Roman"/>
          <w:kern w:val="2"/>
          <w:highlight w:val="none"/>
        </w:rPr>
        <w:t>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143B812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中磺胺类(总量)</w:t>
      </w:r>
      <w:r>
        <w:rPr>
          <w:rFonts w:hint="eastAsia" w:ascii="Times New Roman" w:cs="Times New Roman"/>
          <w:kern w:val="2"/>
          <w:highlight w:val="none"/>
        </w:rPr>
        <w:t>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78D401C9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green"/>
          <w:lang w:val="en-US" w:eastAsia="zh-CN"/>
        </w:rPr>
      </w:pPr>
    </w:p>
    <w:p w14:paraId="355DFE9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十七</w:t>
      </w:r>
      <w:r>
        <w:rPr>
          <w:rFonts w:hint="eastAsia" w:ascii="黑体" w:hAnsi="黑体" w:eastAsia="黑体"/>
          <w:highlight w:val="none"/>
        </w:rPr>
        <w:t>、过</w:t>
      </w:r>
      <w:r>
        <w:rPr>
          <w:rFonts w:ascii="黑体" w:hAnsi="黑体" w:eastAsia="黑体"/>
          <w:highlight w:val="none"/>
        </w:rPr>
        <w:t>氧化值</w:t>
      </w:r>
    </w:p>
    <w:p w14:paraId="3EF56BC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ascii="Segoe UI" w:hAnsi="Segoe UI" w:cs="Segoe UI"/>
          <w:color w:val="333333"/>
          <w:highlight w:val="none"/>
          <w:shd w:val="clear" w:color="auto" w:fill="FFFFFF"/>
        </w:rPr>
        <w:t>过氧化值表示油脂和脂肪酸等被氧化程度的一种指标，用于说明样品是否因已被氧化而变质，那些以油脂、脂肪为原料而制作的食品，通过检测其过氧化值来判断其质量和变质程度。</w:t>
      </w:r>
      <w:r>
        <w:rPr>
          <w:rFonts w:hint="eastAsia" w:ascii="Times New Roman"/>
          <w:highlight w:val="none"/>
        </w:rPr>
        <w:t>根据《食品安全国家标准 植物油》（GB 2716-2018）中规定，</w:t>
      </w:r>
      <w:r>
        <w:rPr>
          <w:rFonts w:hint="eastAsia" w:ascii="Times New Roman"/>
          <w:highlight w:val="none"/>
          <w:lang w:val="en-US" w:eastAsia="zh-CN"/>
        </w:rPr>
        <w:t>花生油</w:t>
      </w:r>
      <w:r>
        <w:rPr>
          <w:rFonts w:hint="eastAsia" w:ascii="Times New Roman"/>
          <w:highlight w:val="none"/>
        </w:rPr>
        <w:t>中过氧化值</w:t>
      </w:r>
      <w:r>
        <w:rPr>
          <w:rFonts w:ascii="Times New Roman"/>
          <w:highlight w:val="none"/>
        </w:rPr>
        <w:t>的</w:t>
      </w:r>
      <w:r>
        <w:rPr>
          <w:rFonts w:hint="eastAsia" w:cs="Times New Roman"/>
          <w:highlight w:val="none"/>
        </w:rPr>
        <w:t>检测结果不得超过0.</w:t>
      </w:r>
      <w:r>
        <w:rPr>
          <w:rFonts w:hint="eastAsia" w:cs="Times New Roman"/>
          <w:highlight w:val="none"/>
          <w:lang w:val="en-US" w:eastAsia="zh-CN"/>
        </w:rPr>
        <w:t xml:space="preserve">25 </w:t>
      </w:r>
      <w:r>
        <w:rPr>
          <w:rFonts w:cs="Times New Roman"/>
          <w:highlight w:val="none"/>
        </w:rPr>
        <w:t>g/100g</w:t>
      </w:r>
      <w:r>
        <w:rPr>
          <w:rFonts w:hint="eastAsia" w:cs="Times New Roman"/>
          <w:highlight w:val="none"/>
        </w:rPr>
        <w:t>。</w:t>
      </w:r>
    </w:p>
    <w:p w14:paraId="4843693E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花生油</w:t>
      </w:r>
      <w:r>
        <w:rPr>
          <w:rFonts w:hint="eastAsia" w:ascii="Times New Roman"/>
          <w:highlight w:val="none"/>
        </w:rPr>
        <w:t>中过氧化值</w:t>
      </w:r>
      <w:r>
        <w:rPr>
          <w:rFonts w:ascii="Times New Roman"/>
          <w:highlight w:val="none"/>
        </w:rPr>
        <w:t>超标</w:t>
      </w:r>
      <w:r>
        <w:rPr>
          <w:rFonts w:hint="eastAsia" w:ascii="Times New Roman"/>
          <w:highlight w:val="none"/>
        </w:rPr>
        <w:t>，过氧化值</w:t>
      </w:r>
      <w:r>
        <w:rPr>
          <w:rFonts w:ascii="Times New Roman"/>
          <w:highlight w:val="none"/>
        </w:rPr>
        <w:t>超标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产品在储存过程中环境条件控制不当，也可能是原料中的脂肪已经氧化。此外，油脂精炼不到位也可能造成食用油、油脂及其制品的过氧化值不合格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</w:p>
    <w:p w14:paraId="1968A4FB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</w:p>
    <w:p w14:paraId="7343B2F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十八</w:t>
      </w:r>
      <w:r>
        <w:rPr>
          <w:rFonts w:hint="eastAsia" w:ascii="黑体" w:hAnsi="黑体" w:eastAsia="黑体"/>
          <w:highlight w:val="none"/>
        </w:rPr>
        <w:t>、酸价</w:t>
      </w:r>
    </w:p>
    <w:p w14:paraId="555FA860">
      <w:pPr>
        <w:widowControl/>
        <w:suppressAutoHyphens/>
        <w:spacing w:line="59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酸价主要反映食品中的油脂酸败的程度，油脂酸败产生的醛酮类化合物长期摄入会对健康有一定影响。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《食品安全国家标准 植物油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（GB 2716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花生油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酸价(KOH)检测结果不得超过3mg/g。</w:t>
      </w:r>
    </w:p>
    <w:p w14:paraId="7E703A2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</w:t>
      </w:r>
      <w:r>
        <w:rPr>
          <w:rFonts w:hint="eastAsia" w:ascii="Times New Roman" w:cs="Times New Roman"/>
          <w:highlight w:val="none"/>
        </w:rPr>
        <w:t>发现有</w:t>
      </w:r>
      <w:r>
        <w:rPr>
          <w:rFonts w:hint="eastAsia" w:ascii="Times New Roman" w:cs="Times New Roman"/>
          <w:highlight w:val="none"/>
          <w:lang w:val="en-US" w:eastAsia="zh-CN"/>
        </w:rPr>
        <w:t>1</w:t>
      </w:r>
      <w:r>
        <w:rPr>
          <w:rFonts w:hint="eastAsia" w:ascii="Times New Roman" w:cs="Times New Roman"/>
          <w:highlight w:val="none"/>
        </w:rPr>
        <w:t>批次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花生油</w:t>
      </w:r>
      <w:r>
        <w:rPr>
          <w:rFonts w:hint="eastAsia" w:ascii="Times New Roman" w:cs="Times New Roman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酸价(KOH)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 w:cs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造成酸价不合格的主要原因是产品储藏条件不当，特别是在夏季，受气候环境影响因素更大，易导致食品中脂肪的氧化酸败。</w:t>
      </w:r>
    </w:p>
    <w:p w14:paraId="29627E8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460F421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十九</w:t>
      </w:r>
      <w:r>
        <w:rPr>
          <w:rFonts w:hint="eastAsia" w:ascii="黑体" w:hAnsi="黑体" w:eastAsia="黑体"/>
          <w:highlight w:val="none"/>
        </w:rPr>
        <w:t>、黄曲霉毒素B₁</w:t>
      </w:r>
    </w:p>
    <w:p w14:paraId="3954564F">
      <w:pPr>
        <w:widowControl/>
        <w:suppressAutoHyphens/>
        <w:spacing w:line="59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是由黄曲霉和寄生曲霉产生的次生代谢产物，是黄曲霉毒素中最常见且毒性最强的一种。它广泛存在于受污染的农产品和食品中，尤其在高温、高湿环境下易滋生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食品安全国家标准 食品中真菌毒素限量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（GB 2761-2017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生干籽类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检测结果不得超过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 μ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g/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k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g。</w:t>
      </w:r>
    </w:p>
    <w:p w14:paraId="361A8E22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</w:t>
      </w:r>
      <w:r>
        <w:rPr>
          <w:rFonts w:hint="eastAsia" w:ascii="Times New Roman" w:cs="Times New Roman"/>
          <w:highlight w:val="none"/>
        </w:rPr>
        <w:t>发现有</w:t>
      </w:r>
      <w:r>
        <w:rPr>
          <w:rFonts w:hint="eastAsia" w:ascii="Times New Roman" w:cs="Times New Roman"/>
          <w:highlight w:val="none"/>
          <w:lang w:val="en-US" w:eastAsia="zh-CN"/>
        </w:rPr>
        <w:t>1</w:t>
      </w:r>
      <w:r>
        <w:rPr>
          <w:rFonts w:hint="eastAsia" w:ascii="Times New Roman" w:cs="Times New Roman"/>
          <w:highlight w:val="none"/>
        </w:rPr>
        <w:t>批次生干籽类</w:t>
      </w:r>
      <w:r>
        <w:rPr>
          <w:rFonts w:hint="eastAsia" w:ascii="Times New Roman" w:cs="Times New Roman"/>
          <w:highlight w:val="none"/>
          <w:lang w:val="en-US" w:eastAsia="zh-CN"/>
        </w:rPr>
        <w:t>中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 w:cs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不合格的主要原因是产品储藏条件不当，特别是在夏季，受气候环境影响因素更大，易导致食品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/>
          <w:highlight w:val="none"/>
        </w:rPr>
        <w:t>。</w:t>
      </w:r>
      <w:r>
        <w:rPr>
          <w:rFonts w:hint="eastAsia" w:ascii="Times New Roman"/>
          <w:highlight w:val="none"/>
          <w:lang w:val="en-US" w:eastAsia="zh-CN"/>
        </w:rPr>
        <w:t>或者加工过程中未能有效去除霉变原料或控制污染，如筛选、清洗、干燥等环节不到位。</w:t>
      </w:r>
    </w:p>
    <w:p w14:paraId="1FDAB2A5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43974D4F">
      <w:pPr>
        <w:pStyle w:val="2"/>
        <w:kinsoku w:val="0"/>
        <w:overflowPunct w:val="0"/>
        <w:spacing w:before="0"/>
        <w:ind w:left="0" w:firstLine="640" w:firstLineChars="200"/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黑体" w:hAnsi="黑体" w:eastAsia="黑体"/>
          <w:highlight w:val="none"/>
          <w:lang w:val="en-US" w:eastAsia="zh-CN"/>
        </w:rPr>
        <w:t>二氧化硫残留量</w:t>
      </w:r>
    </w:p>
    <w:p w14:paraId="58932E64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eastAsia="zh-CN"/>
        </w:rPr>
        <w:t>二氧化硫在食品加工中常用作漂白剂和防腐剂，长期摄入二氧化硫超标的</w:t>
      </w:r>
      <w:r>
        <w:rPr>
          <w:rFonts w:hint="eastAsia" w:ascii="Times New Roman"/>
          <w:highlight w:val="none"/>
          <w:lang w:val="en-US" w:eastAsia="zh-CN"/>
        </w:rPr>
        <w:t>食品</w:t>
      </w:r>
      <w:r>
        <w:rPr>
          <w:rFonts w:hint="eastAsia" w:ascii="Times New Roman"/>
          <w:highlight w:val="none"/>
          <w:lang w:eastAsia="zh-CN"/>
        </w:rPr>
        <w:t>，可能引起恶心、呕吐等胃肠道反应，甚至对呼吸系统和其它器官造成损害。</w:t>
      </w:r>
      <w:r>
        <w:rPr>
          <w:rFonts w:hint="eastAsia" w:ascii="Times New Roman"/>
          <w:highlight w:val="none"/>
        </w:rPr>
        <w:t>根据《食品安全国家标准 食品添加剂使用标准》（GB 2760）中规定，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冰片糖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不得超过0.03 g/kg</w:t>
      </w:r>
      <w:r>
        <w:rPr>
          <w:rFonts w:hint="eastAsia" w:ascii="Times New Roman"/>
          <w:highlight w:val="none"/>
        </w:rPr>
        <w:t>。</w:t>
      </w:r>
    </w:p>
    <w:p w14:paraId="1BEEE3EF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1批次冰片糖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hint="eastAsia" w:ascii="Times New Roman"/>
          <w:highlight w:val="none"/>
          <w:lang w:val="en-US" w:eastAsia="zh-CN"/>
        </w:rPr>
        <w:t>超标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可能是生产企业为改善产品色泽或延长保质期而超量使用二氧化硫，也可能是生产工艺控制不当，</w:t>
      </w:r>
      <w:r>
        <w:rPr>
          <w:rFonts w:hint="eastAsia" w:ascii="Times New Roman"/>
          <w:highlight w:val="none"/>
          <w:lang w:val="en-US" w:eastAsia="zh-CN"/>
        </w:rPr>
        <w:t>计量不准</w:t>
      </w:r>
      <w:r>
        <w:rPr>
          <w:rFonts w:hint="eastAsia" w:ascii="Times New Roman"/>
          <w:highlight w:val="none"/>
        </w:rPr>
        <w:t>导致残留量超标。</w:t>
      </w:r>
    </w:p>
    <w:p w14:paraId="6AF2BE3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1231AB2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二十一</w:t>
      </w:r>
      <w:r>
        <w:rPr>
          <w:rFonts w:hint="eastAsia" w:ascii="黑体" w:hAnsi="黑体" w:eastAsia="黑体"/>
          <w:highlight w:val="none"/>
        </w:rPr>
        <w:t>、菌落总数</w:t>
      </w:r>
    </w:p>
    <w:p w14:paraId="36409EE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default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</w:rPr>
        <w:t>菌落总数是用来判定食品被细菌污染的程度及卫生质量，它反映食品在生产过程中是否符合卫生要求，以便对被检样品做出适当的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5%8D%AB%E7%94%9F%E5%AD%A6%E8%AF%84%E4%BB%B7&amp;zd_token=eyJhbGciOiJIUzI1NiIsInR5cCI6IkpXVCJ9.eyJpc3MiOiJ6aGlkYV9zZXJ2ZXIiLCJleHAiOjE3NTAzODA5NjYsInEiOiLljavnlJ_lrabor4Tku7ciLCJ6aGlkYV9zb3VyY2UiOiJlbnRpdHkiLCJjb250ZW50X2lkIjoxMDQ2NDY4MTUsImNvbnRlbnRfdHlwZSI6IkFydGljbGUiLCJtYXRjaF9vcmRlciI6MSwiemRfdG9rZW4iOm51bGx9.NWJl8Q2HFhJzZLPWKqIGzyH1AWSTq3hHs58B9Vr9d5c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卫生学评价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。菌落总数如果超标将会破坏食品的营养成分，加速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9%A3%9F%E5%93%81%E7%9A%84%E8%85%90%E8%B4%A5&amp;zd_token=eyJhbGciOiJIUzI1NiIsInR5cCI6IkpXVCJ9.eyJpc3MiOiJ6aGlkYV9zZXJ2ZXIiLCJleHAiOjE3NTAzODA5NjYsInEiOiLpo5_lk4HnmoTohZDotKUiLCJ6aGlkYV9zb3VyY2UiOiJlbnRpdHkiLCJjb250ZW50X2lkIjoxMDQ2NDY4MTUsImNvbnRlbnRfdHlwZSI6IkFydGljbGUiLCJtYXRjaF9vcmRlciI6MSwiemRfdG9rZW4iOm51bGx9.Gbazny4BHod-FYk1k1fXvVpDizuyLhceHU1SYOn69jk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食品的腐败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变质，使食品失去食用价值，容易患痢疾等肠道疾病，可能引起呕吐、腹泻等症状，危害人体健康安全。根据《食品安全国家标准 糕点、面包》（GB 7099-2015）中规定，</w:t>
      </w:r>
      <w:r>
        <w:rPr>
          <w:rFonts w:hint="eastAsia" w:ascii="Times New Roman"/>
          <w:highlight w:val="none"/>
          <w:lang w:val="en-US" w:eastAsia="zh-CN"/>
        </w:rPr>
        <w:t>糕点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最大允许限为n=5,c=2,m=10000,M=100000 CFU/g；</w:t>
      </w:r>
      <w:r>
        <w:rPr>
          <w:rFonts w:hint="eastAsia" w:ascii="Times New Roman"/>
          <w:highlight w:val="none"/>
        </w:rPr>
        <w:t>根据</w:t>
      </w:r>
      <w:r>
        <w:rPr>
          <w:rFonts w:hint="eastAsia" w:ascii="Times New Roman"/>
          <w:highlight w:val="none"/>
          <w:lang w:val="en-US" w:eastAsia="zh-CN"/>
        </w:rPr>
        <w:t>产品明示标准和质量要求中规定，米粉制品中菌落总数的最大允许限为n=5,c=2,m=10000,M=100000 CFU/g</w:t>
      </w:r>
      <w:r>
        <w:rPr>
          <w:rFonts w:hint="eastAsia" w:ascii="Times New Roman"/>
          <w:highlight w:val="none"/>
        </w:rPr>
        <w:t>。</w:t>
      </w:r>
    </w:p>
    <w:p w14:paraId="098CA79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2批次鲜湿米粉，1批次面包中</w:t>
      </w:r>
      <w:r>
        <w:rPr>
          <w:rFonts w:hint="eastAsia" w:ascii="Times New Roman"/>
          <w:highlight w:val="none"/>
        </w:rPr>
        <w:t>菌落总数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。菌落总数超标可能</w:t>
      </w:r>
      <w:r>
        <w:rPr>
          <w:rFonts w:hint="eastAsia" w:ascii="Times New Roman"/>
          <w:highlight w:val="none"/>
          <w:lang w:val="en-US" w:eastAsia="zh-CN"/>
        </w:rPr>
        <w:t>由于</w:t>
      </w:r>
      <w:r>
        <w:rPr>
          <w:rFonts w:hint="eastAsia" w:ascii="Times New Roman"/>
          <w:highlight w:val="none"/>
        </w:rPr>
        <w:t>生产设备清洗不彻底、生产环境卫生条件差、生产人员操作不规范</w:t>
      </w:r>
      <w:r>
        <w:rPr>
          <w:rFonts w:hint="eastAsia" w:ascii="Times New Roman"/>
          <w:highlight w:val="none"/>
          <w:lang w:eastAsia="zh-CN"/>
        </w:rPr>
        <w:t>、冷链断链，即储存或运输过程中温度波动，包装材料或包装过程存在缺陷</w:t>
      </w:r>
      <w:r>
        <w:rPr>
          <w:rFonts w:hint="eastAsia" w:ascii="Times New Roman"/>
          <w:highlight w:val="none"/>
        </w:rPr>
        <w:t>等</w:t>
      </w:r>
      <w:r>
        <w:rPr>
          <w:rFonts w:hint="eastAsia" w:ascii="Times New Roman"/>
          <w:highlight w:val="none"/>
          <w:lang w:val="en-US" w:eastAsia="zh-CN"/>
        </w:rPr>
        <w:t>原因造成</w:t>
      </w:r>
      <w:r>
        <w:rPr>
          <w:rFonts w:hint="eastAsia" w:ascii="Times New Roman"/>
          <w:highlight w:val="none"/>
        </w:rPr>
        <w:t>。</w:t>
      </w:r>
    </w:p>
    <w:p w14:paraId="5F3F423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505FE689">
      <w:pPr>
        <w:pStyle w:val="2"/>
        <w:kinsoku w:val="0"/>
        <w:overflowPunct w:val="0"/>
        <w:spacing w:before="0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二十二</w:t>
      </w:r>
      <w:r>
        <w:rPr>
          <w:rFonts w:hint="eastAsia" w:ascii="黑体" w:hAnsi="黑体" w:eastAsia="黑体"/>
          <w:highlight w:val="none"/>
        </w:rPr>
        <w:t>、镉(以Cd计)</w:t>
      </w:r>
    </w:p>
    <w:p w14:paraId="4309486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Ansi="黑体"/>
          <w:highlight w:val="none"/>
        </w:rPr>
      </w:pPr>
      <w:r>
        <w:rPr>
          <w:rFonts w:hint="eastAsia" w:ascii="Times New Roman"/>
          <w:highlight w:val="none"/>
        </w:rPr>
        <w:t>镉（Cd）是对人体有害的元素，在自然界中多以化合态存在，镉可通过食物链进入人体，引起慢性中毒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  <w:r>
        <w:rPr>
          <w:rFonts w:hint="eastAsia" w:ascii="Times New Roman"/>
          <w:highlight w:val="none"/>
        </w:rPr>
        <w:t>根据《食品安全国家标准 食品中污染物限量》（</w:t>
      </w:r>
      <w:r>
        <w:rPr>
          <w:rFonts w:ascii="Times New Roman"/>
          <w:highlight w:val="none"/>
        </w:rPr>
        <w:t>GB 2762</w:t>
      </w:r>
      <w:r>
        <w:rPr>
          <w:rFonts w:hint="eastAsia" w:ascii="Times New Roman"/>
          <w:highlight w:val="none"/>
        </w:rPr>
        <w:t>）中规定，镉（Cd）</w:t>
      </w:r>
      <w:r>
        <w:rPr>
          <w:rFonts w:hint="eastAsia" w:hAnsi="黑体"/>
          <w:highlight w:val="none"/>
        </w:rPr>
        <w:t>在</w:t>
      </w:r>
      <w:r>
        <w:rPr>
          <w:rFonts w:hint="eastAsia" w:hAnsi="黑体"/>
          <w:highlight w:val="none"/>
          <w:lang w:val="en-US" w:eastAsia="zh-CN"/>
        </w:rPr>
        <w:t>姜和芋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1</w:t>
      </w:r>
      <w:r>
        <w:rPr>
          <w:rFonts w:hint="eastAsia" w:hAnsi="黑体"/>
          <w:highlight w:val="none"/>
        </w:rPr>
        <w:t>mg/kg</w:t>
      </w:r>
      <w:r>
        <w:rPr>
          <w:rFonts w:hint="eastAsia" w:hAnsi="黑体"/>
          <w:highlight w:val="none"/>
          <w:lang w:eastAsia="zh-CN"/>
        </w:rPr>
        <w:t>，</w:t>
      </w:r>
      <w:r>
        <w:rPr>
          <w:rFonts w:hint="eastAsia" w:hAnsi="黑体"/>
          <w:highlight w:val="none"/>
          <w:lang w:val="en-US" w:eastAsia="zh-CN"/>
        </w:rPr>
        <w:t>在辣椒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05</w:t>
      </w:r>
      <w:r>
        <w:rPr>
          <w:rFonts w:hint="eastAsia" w:hAnsi="黑体"/>
          <w:highlight w:val="none"/>
        </w:rPr>
        <w:t>mg/kg。</w:t>
      </w:r>
    </w:p>
    <w:p w14:paraId="60993D50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辣椒,2批次姜，1批次芋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镉（Cd）超标。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镉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超标可能由于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种植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过程中</w:t>
      </w:r>
      <w:r>
        <w:rPr>
          <w:rFonts w:hint="eastAsia" w:ascii="Arial" w:hAnsi="Arial" w:cs="Arial"/>
          <w:color w:val="191919"/>
          <w:highlight w:val="none"/>
          <w:shd w:val="clear" w:color="auto" w:fill="FFFFFF"/>
          <w:lang w:val="en-US" w:eastAsia="zh-CN"/>
        </w:rPr>
        <w:t>环境污染导致重金属在作物中堆积造成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</w:p>
    <w:p w14:paraId="2D314255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green"/>
          <w:shd w:val="clear" w:color="auto" w:fill="FFFFFF"/>
        </w:rPr>
      </w:pPr>
    </w:p>
    <w:p w14:paraId="45DEDD61">
      <w:pPr>
        <w:pStyle w:val="2"/>
        <w:kinsoku w:val="0"/>
        <w:overflowPunct w:val="0"/>
        <w:spacing w:before="0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二十三</w:t>
      </w:r>
      <w:r>
        <w:rPr>
          <w:rFonts w:hint="eastAsia" w:ascii="黑体" w:hAnsi="黑体" w:eastAsia="黑体"/>
          <w:highlight w:val="none"/>
        </w:rPr>
        <w:t>、铅(以Pb计)</w:t>
      </w:r>
    </w:p>
    <w:p w14:paraId="4521BBC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Ansi="黑体"/>
          <w:highlight w:val="none"/>
        </w:rPr>
      </w:pPr>
      <w:r>
        <w:rPr>
          <w:rFonts w:hint="eastAsia" w:ascii="Times New Roman"/>
          <w:highlight w:val="none"/>
        </w:rPr>
        <w:t>铅(以Pb计)是常见的重金属污染物，人体中理想的含铅量为零。铅具有蓄积性，进入人体后大部分会在体内沉积，难以排出体外</w:t>
      </w:r>
      <w:r>
        <w:rPr>
          <w:rFonts w:hint="eastAsia" w:ascii="Times New Roman"/>
          <w:highlight w:val="none"/>
          <w:lang w:eastAsia="zh-CN"/>
        </w:rPr>
        <w:t>，长期摄入铅含量超标的食品，会对人体的血液系统、神经系统产生损害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  <w:r>
        <w:rPr>
          <w:rFonts w:hint="eastAsia" w:ascii="Times New Roman"/>
          <w:highlight w:val="none"/>
        </w:rPr>
        <w:t>根据《食品安全国家标准 食品中污染物限量》（</w:t>
      </w:r>
      <w:r>
        <w:rPr>
          <w:rFonts w:ascii="Times New Roman"/>
          <w:highlight w:val="none"/>
        </w:rPr>
        <w:t>GB 2762</w:t>
      </w:r>
      <w:r>
        <w:rPr>
          <w:rFonts w:hint="eastAsia" w:ascii="Times New Roman"/>
          <w:highlight w:val="none"/>
        </w:rPr>
        <w:t>）中规定，铅(以Pb计)</w:t>
      </w:r>
      <w:r>
        <w:rPr>
          <w:rFonts w:hint="eastAsia" w:hAnsi="黑体"/>
          <w:highlight w:val="none"/>
        </w:rPr>
        <w:t>在</w:t>
      </w:r>
      <w:r>
        <w:rPr>
          <w:rFonts w:hint="eastAsia" w:hAnsi="黑体"/>
          <w:highlight w:val="none"/>
          <w:lang w:val="en-US" w:eastAsia="zh-CN"/>
        </w:rPr>
        <w:t>姜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2</w:t>
      </w:r>
      <w:r>
        <w:rPr>
          <w:rFonts w:hint="eastAsia" w:hAnsi="黑体"/>
          <w:highlight w:val="none"/>
        </w:rPr>
        <w:t>mg/kg。</w:t>
      </w:r>
    </w:p>
    <w:p w14:paraId="59D21C3D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 w:ascii="Times New Roman"/>
          <w:highlight w:val="none"/>
          <w:lang w:val="en-US" w:eastAsia="zh-CN"/>
        </w:rPr>
        <w:t>3批次姜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铅(以Pb计)超标。铅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超标可能由于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  <w:lang w:val="en-US" w:eastAsia="zh-CN"/>
        </w:rPr>
        <w:t>环境受到污染</w:t>
      </w:r>
      <w:r>
        <w:rPr>
          <w:rFonts w:hint="eastAsia" w:ascii="Arial" w:hAnsi="Arial" w:cs="Arial"/>
          <w:color w:val="191919"/>
          <w:highlight w:val="none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191919"/>
          <w:highlight w:val="none"/>
          <w:shd w:val="clear" w:color="auto" w:fill="FFFFFF"/>
          <w:lang w:val="en-US" w:eastAsia="zh-CN"/>
        </w:rPr>
        <w:t>植物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在生长过程中通过土壤、空气、水等途径导致铅污染。</w:t>
      </w: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A025A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455FC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2DD5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0FF21BE"/>
    <w:rsid w:val="01086C64"/>
    <w:rsid w:val="01330BCF"/>
    <w:rsid w:val="01583409"/>
    <w:rsid w:val="01A31475"/>
    <w:rsid w:val="01AA7D1B"/>
    <w:rsid w:val="02050309"/>
    <w:rsid w:val="025F1DD2"/>
    <w:rsid w:val="02665C60"/>
    <w:rsid w:val="03A64228"/>
    <w:rsid w:val="04223B99"/>
    <w:rsid w:val="04811FE9"/>
    <w:rsid w:val="04D1736D"/>
    <w:rsid w:val="05A83105"/>
    <w:rsid w:val="060D0713"/>
    <w:rsid w:val="06AB431A"/>
    <w:rsid w:val="071B502C"/>
    <w:rsid w:val="07540FAE"/>
    <w:rsid w:val="079D70A7"/>
    <w:rsid w:val="07C9494C"/>
    <w:rsid w:val="07F85594"/>
    <w:rsid w:val="08471E20"/>
    <w:rsid w:val="094C15B4"/>
    <w:rsid w:val="09FB194E"/>
    <w:rsid w:val="0A5511B5"/>
    <w:rsid w:val="0AF91CBE"/>
    <w:rsid w:val="0C29257C"/>
    <w:rsid w:val="0C3A016B"/>
    <w:rsid w:val="0CE260BC"/>
    <w:rsid w:val="0D2C55B8"/>
    <w:rsid w:val="0D380677"/>
    <w:rsid w:val="0D6D1422"/>
    <w:rsid w:val="0EF40D5A"/>
    <w:rsid w:val="0EF600FC"/>
    <w:rsid w:val="0FB4693D"/>
    <w:rsid w:val="0FC05C0E"/>
    <w:rsid w:val="108D683E"/>
    <w:rsid w:val="110D523F"/>
    <w:rsid w:val="11803FE3"/>
    <w:rsid w:val="122B630F"/>
    <w:rsid w:val="13217BBE"/>
    <w:rsid w:val="139B23FB"/>
    <w:rsid w:val="140908D1"/>
    <w:rsid w:val="145C002F"/>
    <w:rsid w:val="14820806"/>
    <w:rsid w:val="153C5486"/>
    <w:rsid w:val="156D6C3E"/>
    <w:rsid w:val="157D4E6D"/>
    <w:rsid w:val="15A563D8"/>
    <w:rsid w:val="15C66F7E"/>
    <w:rsid w:val="1665388A"/>
    <w:rsid w:val="16907992"/>
    <w:rsid w:val="16CC691F"/>
    <w:rsid w:val="16F166EF"/>
    <w:rsid w:val="17322A40"/>
    <w:rsid w:val="1816256E"/>
    <w:rsid w:val="185354DF"/>
    <w:rsid w:val="187C1786"/>
    <w:rsid w:val="19481F81"/>
    <w:rsid w:val="1A0758B3"/>
    <w:rsid w:val="1A3206EA"/>
    <w:rsid w:val="1AB10DF9"/>
    <w:rsid w:val="1AE527E8"/>
    <w:rsid w:val="1AEC063C"/>
    <w:rsid w:val="1AFE1C43"/>
    <w:rsid w:val="1BDA3BAB"/>
    <w:rsid w:val="1C0F0A4F"/>
    <w:rsid w:val="1C3A116B"/>
    <w:rsid w:val="1C9B7729"/>
    <w:rsid w:val="1CD31A7D"/>
    <w:rsid w:val="1D0522BB"/>
    <w:rsid w:val="1DC675AB"/>
    <w:rsid w:val="1DE0470B"/>
    <w:rsid w:val="1E0345E3"/>
    <w:rsid w:val="1E044ACF"/>
    <w:rsid w:val="1E0F2F88"/>
    <w:rsid w:val="1F10520A"/>
    <w:rsid w:val="1F461181"/>
    <w:rsid w:val="1F5406AF"/>
    <w:rsid w:val="20434B05"/>
    <w:rsid w:val="215441BB"/>
    <w:rsid w:val="22804455"/>
    <w:rsid w:val="23D6464A"/>
    <w:rsid w:val="23EA427B"/>
    <w:rsid w:val="24513157"/>
    <w:rsid w:val="24545B99"/>
    <w:rsid w:val="24F459A5"/>
    <w:rsid w:val="25D93DCD"/>
    <w:rsid w:val="25E22D30"/>
    <w:rsid w:val="261B7905"/>
    <w:rsid w:val="26411D71"/>
    <w:rsid w:val="26907813"/>
    <w:rsid w:val="26DA3D9D"/>
    <w:rsid w:val="27094BAB"/>
    <w:rsid w:val="273336B6"/>
    <w:rsid w:val="27513DAE"/>
    <w:rsid w:val="28303CF1"/>
    <w:rsid w:val="29D55086"/>
    <w:rsid w:val="29E20AEA"/>
    <w:rsid w:val="2A4C2E6E"/>
    <w:rsid w:val="2A58372E"/>
    <w:rsid w:val="2B277B63"/>
    <w:rsid w:val="2C646EEF"/>
    <w:rsid w:val="2CB573F1"/>
    <w:rsid w:val="2D84231F"/>
    <w:rsid w:val="2E147AB2"/>
    <w:rsid w:val="2E4622A1"/>
    <w:rsid w:val="2EED3D6C"/>
    <w:rsid w:val="2F9E5968"/>
    <w:rsid w:val="2FC75471"/>
    <w:rsid w:val="31102BF4"/>
    <w:rsid w:val="31EC3320"/>
    <w:rsid w:val="32E77D9B"/>
    <w:rsid w:val="34161ADD"/>
    <w:rsid w:val="343F3BB6"/>
    <w:rsid w:val="3459095E"/>
    <w:rsid w:val="346217D5"/>
    <w:rsid w:val="34F12F90"/>
    <w:rsid w:val="351061E4"/>
    <w:rsid w:val="35D661B7"/>
    <w:rsid w:val="37036ED6"/>
    <w:rsid w:val="373D0691"/>
    <w:rsid w:val="386E3CE1"/>
    <w:rsid w:val="38B95B73"/>
    <w:rsid w:val="3A4A0CD0"/>
    <w:rsid w:val="3C10662E"/>
    <w:rsid w:val="3C1814F4"/>
    <w:rsid w:val="3C9D47AE"/>
    <w:rsid w:val="3CDD6481"/>
    <w:rsid w:val="3E3E1B74"/>
    <w:rsid w:val="3E5D5A31"/>
    <w:rsid w:val="3F061B58"/>
    <w:rsid w:val="3F94181E"/>
    <w:rsid w:val="40E83499"/>
    <w:rsid w:val="420936C7"/>
    <w:rsid w:val="42180B39"/>
    <w:rsid w:val="422F6EA6"/>
    <w:rsid w:val="424C5CAA"/>
    <w:rsid w:val="42D83145"/>
    <w:rsid w:val="43164218"/>
    <w:rsid w:val="43167039"/>
    <w:rsid w:val="434E3083"/>
    <w:rsid w:val="441476A7"/>
    <w:rsid w:val="448636F5"/>
    <w:rsid w:val="44F93EC7"/>
    <w:rsid w:val="452572E5"/>
    <w:rsid w:val="45555FC7"/>
    <w:rsid w:val="464245FC"/>
    <w:rsid w:val="467C12B0"/>
    <w:rsid w:val="468F727E"/>
    <w:rsid w:val="46E356D8"/>
    <w:rsid w:val="47F72214"/>
    <w:rsid w:val="48255976"/>
    <w:rsid w:val="484819B2"/>
    <w:rsid w:val="49497019"/>
    <w:rsid w:val="49717D67"/>
    <w:rsid w:val="49926875"/>
    <w:rsid w:val="499F7236"/>
    <w:rsid w:val="49C34614"/>
    <w:rsid w:val="49D514D5"/>
    <w:rsid w:val="4A633B90"/>
    <w:rsid w:val="4ABE596A"/>
    <w:rsid w:val="4B0A37BE"/>
    <w:rsid w:val="4B0A7982"/>
    <w:rsid w:val="4B6F0FB6"/>
    <w:rsid w:val="4BBB58FC"/>
    <w:rsid w:val="4C095CF3"/>
    <w:rsid w:val="4CBD3A2C"/>
    <w:rsid w:val="4D017EE9"/>
    <w:rsid w:val="4D2676C6"/>
    <w:rsid w:val="4EEA4880"/>
    <w:rsid w:val="4EFC63A0"/>
    <w:rsid w:val="4F141BFC"/>
    <w:rsid w:val="4FA5149A"/>
    <w:rsid w:val="4FB07E71"/>
    <w:rsid w:val="4FF14604"/>
    <w:rsid w:val="503D0049"/>
    <w:rsid w:val="50795336"/>
    <w:rsid w:val="5103726B"/>
    <w:rsid w:val="51850890"/>
    <w:rsid w:val="519835D9"/>
    <w:rsid w:val="527427EC"/>
    <w:rsid w:val="52BD5936"/>
    <w:rsid w:val="52DD3116"/>
    <w:rsid w:val="539B7B56"/>
    <w:rsid w:val="53B7467C"/>
    <w:rsid w:val="544669FD"/>
    <w:rsid w:val="54B83B2B"/>
    <w:rsid w:val="55CA5055"/>
    <w:rsid w:val="55FD758F"/>
    <w:rsid w:val="562436B8"/>
    <w:rsid w:val="568C54A1"/>
    <w:rsid w:val="571446AC"/>
    <w:rsid w:val="571C116D"/>
    <w:rsid w:val="576C7C19"/>
    <w:rsid w:val="576F5F71"/>
    <w:rsid w:val="5793209C"/>
    <w:rsid w:val="57A010ED"/>
    <w:rsid w:val="58964CA3"/>
    <w:rsid w:val="58CB127E"/>
    <w:rsid w:val="590066E4"/>
    <w:rsid w:val="597177C9"/>
    <w:rsid w:val="59DC7588"/>
    <w:rsid w:val="5A3436F3"/>
    <w:rsid w:val="5AE14D89"/>
    <w:rsid w:val="5B70794E"/>
    <w:rsid w:val="5BCF1086"/>
    <w:rsid w:val="5BFF3F86"/>
    <w:rsid w:val="5C887542"/>
    <w:rsid w:val="5D1B534F"/>
    <w:rsid w:val="5D4E1EA4"/>
    <w:rsid w:val="5DA61DC0"/>
    <w:rsid w:val="5DD93A1E"/>
    <w:rsid w:val="5F011DE7"/>
    <w:rsid w:val="5F23428B"/>
    <w:rsid w:val="5FF768EF"/>
    <w:rsid w:val="6082054A"/>
    <w:rsid w:val="61BA4586"/>
    <w:rsid w:val="61C14418"/>
    <w:rsid w:val="62E551E2"/>
    <w:rsid w:val="63125F32"/>
    <w:rsid w:val="635C5093"/>
    <w:rsid w:val="63FA510E"/>
    <w:rsid w:val="640865C6"/>
    <w:rsid w:val="6472552C"/>
    <w:rsid w:val="663F505A"/>
    <w:rsid w:val="667114F6"/>
    <w:rsid w:val="66A17201"/>
    <w:rsid w:val="67486B56"/>
    <w:rsid w:val="6772249D"/>
    <w:rsid w:val="67FD36C9"/>
    <w:rsid w:val="680C1AE5"/>
    <w:rsid w:val="684C1AB9"/>
    <w:rsid w:val="68D979E8"/>
    <w:rsid w:val="68ED3493"/>
    <w:rsid w:val="69401815"/>
    <w:rsid w:val="6A0D55C1"/>
    <w:rsid w:val="6A247E11"/>
    <w:rsid w:val="6A473887"/>
    <w:rsid w:val="6A7C062B"/>
    <w:rsid w:val="6A8A03C9"/>
    <w:rsid w:val="6AE54422"/>
    <w:rsid w:val="6C944351"/>
    <w:rsid w:val="6C96463E"/>
    <w:rsid w:val="6CBC3F1E"/>
    <w:rsid w:val="6D4F6DBD"/>
    <w:rsid w:val="6DAD74CE"/>
    <w:rsid w:val="6DE8547C"/>
    <w:rsid w:val="6E3D03BA"/>
    <w:rsid w:val="6E8E182D"/>
    <w:rsid w:val="6E982C53"/>
    <w:rsid w:val="6F072C54"/>
    <w:rsid w:val="6F2B3AF3"/>
    <w:rsid w:val="6F6A75EB"/>
    <w:rsid w:val="707149AA"/>
    <w:rsid w:val="70730722"/>
    <w:rsid w:val="71DD0A61"/>
    <w:rsid w:val="730317AB"/>
    <w:rsid w:val="734D40B3"/>
    <w:rsid w:val="73846F32"/>
    <w:rsid w:val="738B241F"/>
    <w:rsid w:val="73A570F9"/>
    <w:rsid w:val="74D07EF1"/>
    <w:rsid w:val="758F6A52"/>
    <w:rsid w:val="77831DD0"/>
    <w:rsid w:val="779514CC"/>
    <w:rsid w:val="7927654D"/>
    <w:rsid w:val="79846997"/>
    <w:rsid w:val="79AB6836"/>
    <w:rsid w:val="79E60EC7"/>
    <w:rsid w:val="7A112D6D"/>
    <w:rsid w:val="7A3F504D"/>
    <w:rsid w:val="7A41719B"/>
    <w:rsid w:val="7AED7215"/>
    <w:rsid w:val="7B1F5CAB"/>
    <w:rsid w:val="7B6E2211"/>
    <w:rsid w:val="7CC06A9D"/>
    <w:rsid w:val="7D2D4F94"/>
    <w:rsid w:val="7DC4490E"/>
    <w:rsid w:val="7DE13CC0"/>
    <w:rsid w:val="7DF62E04"/>
    <w:rsid w:val="7E544BA5"/>
    <w:rsid w:val="7ECD0561"/>
    <w:rsid w:val="7F884E84"/>
    <w:rsid w:val="7FF2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5283</Words>
  <Characters>5690</Characters>
  <Lines>30</Lines>
  <Paragraphs>8</Paragraphs>
  <TotalTime>13</TotalTime>
  <ScaleCrop>false</ScaleCrop>
  <LinksUpToDate>false</LinksUpToDate>
  <CharactersWithSpaces>5743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老冯同志</cp:lastModifiedBy>
  <cp:lastPrinted>2017-03-29T07:42:00Z</cp:lastPrinted>
  <dcterms:modified xsi:type="dcterms:W3CDTF">2025-12-08T07:11:55Z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2C9A87583ADA483F873A8774B93006D3_12</vt:lpwstr>
  </property>
  <property fmtid="{D5CDD505-2E9C-101B-9397-08002B2CF9AE}" pid="4" name="KSOTemplateDocerSaveRecord">
    <vt:lpwstr>eyJoZGlkIjoiNDFkZTEyMDllYThlZmE4ZjllN2ViOGJiNzdkNmIzN2MiLCJ1c2VySWQiOiIxMTQ2OTI4OTE1In0=</vt:lpwstr>
  </property>
</Properties>
</file>